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3A" w:rsidRPr="00D0613A" w:rsidRDefault="00D0613A" w:rsidP="00D0613A">
      <w:pPr>
        <w:framePr w:w="9125" w:h="14059" w:hRule="exact" w:wrap="none" w:vAnchor="page" w:hAnchor="page" w:x="1673" w:y="1173"/>
        <w:widowControl/>
        <w:spacing w:line="360" w:lineRule="exact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61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Выписка из Территориальной программы государственных гарантий бесплатного оказания гражданам медицинской помощи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D061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год, и плановый период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D061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г.,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D061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D0613A" w:rsidRPr="00D0613A" w:rsidRDefault="00D0613A" w:rsidP="00D0613A">
      <w:pPr>
        <w:framePr w:w="9125" w:h="14059" w:hRule="exact" w:wrap="none" w:vAnchor="page" w:hAnchor="page" w:x="1673" w:y="1173"/>
        <w:spacing w:line="26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13A" w:rsidRPr="00D0613A" w:rsidRDefault="00D0613A" w:rsidP="00D0613A">
      <w:pPr>
        <w:framePr w:w="9125" w:h="14059" w:hRule="exact" w:wrap="none" w:vAnchor="page" w:hAnchor="page" w:x="1673" w:y="1173"/>
        <w:spacing w:line="26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13A" w:rsidRPr="00B74C25" w:rsidRDefault="00D0613A" w:rsidP="00D0613A">
      <w:pPr>
        <w:framePr w:w="9125" w:h="14059" w:hRule="exact" w:wrap="none" w:vAnchor="page" w:hAnchor="page" w:x="1673" w:y="1173"/>
        <w:spacing w:line="26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B74C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Сроки ожидания медицинской помощи</w:t>
      </w:r>
    </w:p>
    <w:bookmarkEnd w:id="0"/>
    <w:p w:rsidR="00D612B1" w:rsidRDefault="00D612B1" w:rsidP="00D0613A">
      <w:pPr>
        <w:pStyle w:val="1"/>
        <w:framePr w:w="9125" w:h="14059" w:hRule="exact" w:wrap="none" w:vAnchor="page" w:hAnchor="page" w:x="1673" w:y="1173"/>
        <w:tabs>
          <w:tab w:val="left" w:pos="1167"/>
        </w:tabs>
        <w:ind w:left="142" w:firstLine="0"/>
        <w:jc w:val="right"/>
        <w:rPr>
          <w:color w:val="000000"/>
        </w:rPr>
      </w:pPr>
    </w:p>
    <w:p w:rsidR="00D612B1" w:rsidRDefault="00D612B1" w:rsidP="00D612B1">
      <w:pPr>
        <w:pStyle w:val="1"/>
        <w:framePr w:w="9125" w:h="14059" w:hRule="exact" w:wrap="none" w:vAnchor="page" w:hAnchor="page" w:x="1673" w:y="1173"/>
        <w:tabs>
          <w:tab w:val="left" w:pos="1167"/>
        </w:tabs>
        <w:ind w:left="142" w:firstLine="0"/>
      </w:pPr>
      <w:r>
        <w:rPr>
          <w:color w:val="000000"/>
        </w:rPr>
        <w:t xml:space="preserve"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врачей-специалистов, оказания первичной медико-санитарной помощи в неотложной форме, время </w:t>
      </w:r>
      <w:proofErr w:type="spellStart"/>
      <w:r>
        <w:rPr>
          <w:color w:val="000000"/>
        </w:rPr>
        <w:t>доезда</w:t>
      </w:r>
      <w:proofErr w:type="spellEnd"/>
      <w:r>
        <w:rPr>
          <w:color w:val="000000"/>
        </w:rPr>
        <w:t xml:space="preserve"> до пациента бригад скорой медицинской помощи при оказании скорой медицинской помощи в экстренной форме.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tabs>
          <w:tab w:val="left" w:pos="2078"/>
          <w:tab w:val="left" w:pos="4140"/>
          <w:tab w:val="left" w:pos="6528"/>
        </w:tabs>
        <w:ind w:firstLine="720"/>
        <w:jc w:val="both"/>
      </w:pPr>
      <w:r>
        <w:rPr>
          <w:color w:val="000000"/>
        </w:rPr>
        <w:t>сроки</w:t>
      </w:r>
      <w:r>
        <w:rPr>
          <w:color w:val="000000"/>
        </w:rPr>
        <w:tab/>
        <w:t>проведения</w:t>
      </w:r>
      <w:r>
        <w:rPr>
          <w:color w:val="000000"/>
        </w:rPr>
        <w:tab/>
        <w:t>консультаций</w:t>
      </w:r>
      <w:r>
        <w:rPr>
          <w:color w:val="000000"/>
        </w:rPr>
        <w:tab/>
        <w:t>врачей-специалистов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ind w:firstLine="0"/>
        <w:jc w:val="both"/>
      </w:pPr>
      <w:r>
        <w:rPr>
          <w:color w:val="000000"/>
        </w:rPr>
        <w:t>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сроки проведения консультаций врачей-специалистов в случае подозрения на онкологические заболевания не должны превышать 3 рабочих дней;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tabs>
          <w:tab w:val="left" w:pos="2078"/>
          <w:tab w:val="left" w:pos="4140"/>
          <w:tab w:val="left" w:pos="6792"/>
        </w:tabs>
        <w:ind w:firstLine="720"/>
        <w:jc w:val="both"/>
      </w:pPr>
      <w:r>
        <w:rPr>
          <w:color w:val="000000"/>
        </w:rPr>
        <w:t>сроки</w:t>
      </w:r>
      <w:r>
        <w:rPr>
          <w:color w:val="000000"/>
        </w:rPr>
        <w:tab/>
        <w:t>проведения</w:t>
      </w:r>
      <w:r>
        <w:rPr>
          <w:color w:val="000000"/>
        </w:rPr>
        <w:tab/>
        <w:t>диагностических</w:t>
      </w:r>
      <w:r>
        <w:rPr>
          <w:color w:val="000000"/>
        </w:rPr>
        <w:tab/>
        <w:t>инструментальных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tabs>
          <w:tab w:val="left" w:pos="3293"/>
          <w:tab w:val="left" w:pos="5621"/>
          <w:tab w:val="left" w:pos="7294"/>
        </w:tabs>
        <w:ind w:firstLine="0"/>
        <w:jc w:val="both"/>
      </w:pPr>
      <w:r>
        <w:rPr>
          <w:color w:val="000000"/>
        </w:rPr>
        <w:t>(рентгенографические</w:t>
      </w:r>
      <w:r>
        <w:rPr>
          <w:color w:val="000000"/>
        </w:rPr>
        <w:tab/>
      </w:r>
      <w:proofErr w:type="gramStart"/>
      <w:r>
        <w:rPr>
          <w:color w:val="000000"/>
        </w:rPr>
        <w:t>исследования,</w:t>
      </w:r>
      <w:r>
        <w:rPr>
          <w:color w:val="000000"/>
        </w:rPr>
        <w:tab/>
      </w:r>
      <w:proofErr w:type="gramEnd"/>
      <w:r>
        <w:rPr>
          <w:color w:val="000000"/>
        </w:rPr>
        <w:t>включая</w:t>
      </w:r>
      <w:r>
        <w:rPr>
          <w:color w:val="000000"/>
        </w:rPr>
        <w:tab/>
        <w:t>маммографию,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tabs>
          <w:tab w:val="left" w:pos="2611"/>
          <w:tab w:val="left" w:pos="4786"/>
          <w:tab w:val="left" w:pos="7294"/>
        </w:tabs>
        <w:ind w:firstLine="0"/>
        <w:jc w:val="both"/>
      </w:pPr>
      <w:r>
        <w:rPr>
          <w:color w:val="000000"/>
        </w:rPr>
        <w:t>функциональная</w:t>
      </w:r>
      <w:r>
        <w:rPr>
          <w:color w:val="000000"/>
        </w:rPr>
        <w:tab/>
      </w:r>
      <w:proofErr w:type="gramStart"/>
      <w:r>
        <w:rPr>
          <w:color w:val="000000"/>
        </w:rPr>
        <w:t>диагностика,</w:t>
      </w:r>
      <w:r>
        <w:rPr>
          <w:color w:val="000000"/>
        </w:rPr>
        <w:tab/>
      </w:r>
      <w:proofErr w:type="gramEnd"/>
      <w:r>
        <w:rPr>
          <w:color w:val="000000"/>
        </w:rPr>
        <w:t>ультразвуковые</w:t>
      </w:r>
      <w:r>
        <w:rPr>
          <w:color w:val="000000"/>
        </w:rPr>
        <w:tab/>
        <w:t>исследования)</w:t>
      </w:r>
    </w:p>
    <w:p w:rsidR="00D612B1" w:rsidRDefault="00D612B1" w:rsidP="00D612B1">
      <w:pPr>
        <w:pStyle w:val="1"/>
        <w:framePr w:w="9125" w:h="14059" w:hRule="exact" w:wrap="none" w:vAnchor="page" w:hAnchor="page" w:x="1673" w:y="1173"/>
        <w:ind w:firstLine="0"/>
        <w:jc w:val="both"/>
      </w:pPr>
      <w:r>
        <w:rPr>
          <w:color w:val="000000"/>
        </w:rPr>
        <w:t>и лабораторных исследований при оказании первичной медико-санитарной помощи не должны превышать 14 рабочих дней со дня назначения</w:t>
      </w:r>
    </w:p>
    <w:p w:rsidR="00D612B1" w:rsidRDefault="00D612B1" w:rsidP="00D612B1">
      <w:pPr>
        <w:widowControl/>
        <w:sectPr w:rsidR="00D612B1">
          <w:pgSz w:w="11900" w:h="16840"/>
          <w:pgMar w:top="360" w:right="360" w:bottom="360" w:left="360" w:header="0" w:footer="3" w:gutter="0"/>
          <w:cols w:space="720"/>
        </w:sectPr>
      </w:pPr>
    </w:p>
    <w:p w:rsidR="00D612B1" w:rsidRDefault="00D612B1" w:rsidP="00D612B1">
      <w:pPr>
        <w:spacing w:line="1" w:lineRule="exact"/>
      </w:pP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0"/>
        <w:jc w:val="both"/>
      </w:pPr>
      <w:r>
        <w:rPr>
          <w:color w:val="000000"/>
        </w:rPr>
        <w:t>исследований (за исключением исследований при подозрении на онкологическое заболевание);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 xml:space="preserve">сроки проведения компьютерной томографии (включая однофотонную эмиссионную компьютерную томографию), </w:t>
      </w:r>
      <w:proofErr w:type="spellStart"/>
      <w:r>
        <w:rPr>
          <w:color w:val="000000"/>
        </w:rPr>
        <w:t>магнитно</w:t>
      </w:r>
      <w:r>
        <w:rPr>
          <w:color w:val="000000"/>
        </w:rPr>
        <w:softHyphen/>
        <w:t>резонансной</w:t>
      </w:r>
      <w:proofErr w:type="spellEnd"/>
      <w:r>
        <w:rPr>
          <w:color w:val="000000"/>
        </w:rPr>
        <w:t xml:space="preserve"> томографии и ангиографии при оказании первичной </w:t>
      </w:r>
      <w:proofErr w:type="spellStart"/>
      <w:r>
        <w:rPr>
          <w:color w:val="000000"/>
        </w:rPr>
        <w:t>медико</w:t>
      </w:r>
      <w:r>
        <w:rPr>
          <w:color w:val="000000"/>
        </w:rPr>
        <w:softHyphen/>
        <w:t>санитарной</w:t>
      </w:r>
      <w:proofErr w:type="spellEnd"/>
      <w:r>
        <w:rPr>
          <w:color w:val="000000"/>
        </w:rPr>
        <w:t xml:space="preserve">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tabs>
          <w:tab w:val="left" w:pos="2059"/>
          <w:tab w:val="left" w:pos="4104"/>
          <w:tab w:val="left" w:pos="6792"/>
        </w:tabs>
        <w:ind w:firstLine="720"/>
        <w:jc w:val="both"/>
      </w:pPr>
      <w:r>
        <w:rPr>
          <w:color w:val="000000"/>
        </w:rPr>
        <w:t>сроки</w:t>
      </w:r>
      <w:r>
        <w:rPr>
          <w:color w:val="000000"/>
        </w:rPr>
        <w:tab/>
        <w:t>проведения</w:t>
      </w:r>
      <w:r>
        <w:rPr>
          <w:color w:val="000000"/>
        </w:rPr>
        <w:tab/>
        <w:t>диагностических</w:t>
      </w:r>
      <w:r>
        <w:rPr>
          <w:color w:val="000000"/>
        </w:rPr>
        <w:tab/>
        <w:t>инструментальных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0"/>
        <w:jc w:val="both"/>
      </w:pPr>
      <w:r>
        <w:rPr>
          <w:color w:val="000000"/>
        </w:rPr>
        <w:t>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сроки ожидания оказания специализированной (за исключением высокотехнологичной) медицинской помощи в стационарных условиях в плановой форме,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диагноза заболевания (состояния).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Срок ожидания процедуры экстракорпорального оплодотворения не должен превышать 6 месяцев с момента оформления направления.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 xml:space="preserve">Время </w:t>
      </w:r>
      <w:proofErr w:type="spellStart"/>
      <w:r>
        <w:rPr>
          <w:color w:val="000000"/>
        </w:rPr>
        <w:t>доезда</w:t>
      </w:r>
      <w:proofErr w:type="spellEnd"/>
      <w:r>
        <w:rPr>
          <w:color w:val="000000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Пермского края с численностью населения 10 тысяч человек и более.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 xml:space="preserve">Для населенных пунктов Пермского края с численностью населения менее 10 тысяч человек время </w:t>
      </w:r>
      <w:proofErr w:type="spellStart"/>
      <w:r>
        <w:rPr>
          <w:color w:val="000000"/>
        </w:rPr>
        <w:t>доезда</w:t>
      </w:r>
      <w:proofErr w:type="spellEnd"/>
      <w:r>
        <w:rPr>
          <w:color w:val="000000"/>
        </w:rPr>
        <w:t xml:space="preserve"> до пациента бригад скорой медицинской помощи при оказании скорой медицинской помощи в экстренной форме с момента ее вызова и с учетом транспортной доступности, плотности населения, а также климатических и географических особенностей Пермского края может составлять:</w:t>
      </w:r>
    </w:p>
    <w:p w:rsidR="00D612B1" w:rsidRDefault="00D612B1" w:rsidP="00D612B1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до 40 минут с момента ее вызова при расстоянии от 20 до 40 километров от отделения (подстанции) скорой медицинской помощи до места нахождения пациента;</w:t>
      </w:r>
    </w:p>
    <w:p w:rsidR="00D612B1" w:rsidRDefault="00D612B1" w:rsidP="00D612B1">
      <w:pPr>
        <w:widowControl/>
        <w:sectPr w:rsidR="00D612B1">
          <w:pgSz w:w="11900" w:h="16840"/>
          <w:pgMar w:top="360" w:right="360" w:bottom="360" w:left="360" w:header="0" w:footer="3" w:gutter="0"/>
          <w:cols w:space="720"/>
        </w:sectPr>
      </w:pPr>
    </w:p>
    <w:p w:rsidR="00D612B1" w:rsidRDefault="00D612B1" w:rsidP="00D612B1">
      <w:pPr>
        <w:spacing w:line="1" w:lineRule="exact"/>
      </w:pP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до 60 минут с момента ее вызова при расстоянии от 41 до 60 километров от отделения (подстанции) скорой медицинской помощи до места нахождения пациента;</w:t>
      </w: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до 90 минут с момента ее вызова при расстоянии свыше 61 километра от отделения (подстанции) скорой медицинской помощи до места нахождения пациента.</w:t>
      </w: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Направление гражданина на плановую госпитализацию в медицинскую организацию осуществляется лечащим врачом в соответствии с медицинскими показаниями, требующими госпитального режима, активной терапии и круглосуточного наблюдения врача.</w:t>
      </w: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 xml:space="preserve">Пациентам, нуждающимся в оказании паллиативной медицинской помощи и имеющим хронические заболевания, в условиях возникновения угрозы распространения заболеваний, вызванных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инфекцией (COVID-19), медицинские организации в амбулаторных условиях организуют динамическое диспансерное наблюдение пациентов, в том числе с применением дистанционных технологий, проводят коррекцию лечения и обеспечивают отдельные категории граждан лекарственными препаратами, а также при показаниях своевременно направляют на плановую госпитализацию.</w:t>
      </w: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Территориальной программой государственных гарантий.</w:t>
      </w: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D612B1" w:rsidRDefault="00D612B1" w:rsidP="00D612B1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Медицинская помощь в экстренной форме оказывается медицинской организацией и медицинским работником гражданину безотлагательно.</w:t>
      </w:r>
    </w:p>
    <w:p w:rsidR="00691FB2" w:rsidRDefault="00691FB2"/>
    <w:sectPr w:rsidR="0069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33AE5"/>
    <w:multiLevelType w:val="multilevel"/>
    <w:tmpl w:val="3656D374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91"/>
    <w:rsid w:val="00200991"/>
    <w:rsid w:val="00691FB2"/>
    <w:rsid w:val="00B74C25"/>
    <w:rsid w:val="00D0613A"/>
    <w:rsid w:val="00D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533A8-A91F-4A17-A6B8-50CF1B7C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612B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612B1"/>
    <w:pPr>
      <w:spacing w:line="268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Колонтитул_"/>
    <w:basedOn w:val="a0"/>
    <w:link w:val="a5"/>
    <w:locked/>
    <w:rsid w:val="00D612B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D612B1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6</cp:revision>
  <dcterms:created xsi:type="dcterms:W3CDTF">2024-02-26T10:44:00Z</dcterms:created>
  <dcterms:modified xsi:type="dcterms:W3CDTF">2024-02-26T11:29:00Z</dcterms:modified>
</cp:coreProperties>
</file>